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A10 SC</w:t>
      </w:r>
    </w:p>
    <w:p>
      <w:pPr/>
      <w:r>
        <w:rPr>
          <w:b w:val="1"/>
          <w:bCs w:val="1"/>
        </w:rPr>
        <w:t xml:space="preserve">bl. chaud blanc</w:t>
      </w:r>
    </w:p>
    <w:p/>
    <w:p>
      <w:pPr/>
      <w:r>
        <w:rPr/>
        <w:t xml:space="preserve">• Dimensions (Ø x H): 193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chaud blanc</w:t>
      </w:r>
      <w:br/>
      <w:r>
        <w:rPr/>
        <w:t xml:space="preserve">• UC1, Code EAN: 4007841088316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1095 lm</w:t>
      </w:r>
      <w:br/>
      <w:r>
        <w:rPr/>
        <w:t xml:space="preserve">• Efficacité totale du produit: 102,3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10,7 W</w:t>
      </w:r>
      <w:br/>
      <w:r>
        <w:rPr/>
        <w:t xml:space="preserve">• Indice de rendu des couleurs IRC: = 80</w:t>
      </w:r>
      <w:br/>
      <w:r>
        <w:rPr/>
        <w:t xml:space="preserve">• Sécurité photobiologique selon la norme EN 62471: RG1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088316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A10 SC bl. chaud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2026-06-09T01:01:34+02:00</dcterms:created>
  <dcterms:modified xsi:type="dcterms:W3CDTF">2026-06-09T01:01:34+02:00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